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F33711" w:rsidP="009D4C42">
      <w:pPr>
        <w:contextualSpacing/>
        <w:jc w:val="center"/>
        <w:rPr>
          <w:color w:val="595959"/>
        </w:rPr>
      </w:pPr>
      <w:bookmarkStart w:id="0" w:name="Введение"/>
      <w:r w:rsidRPr="00F33711">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27413E"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ГОЛУБИНСКОЕ</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D2212A" w:rsidP="001C5E32">
            <w:pPr>
              <w:ind w:left="176"/>
              <w:jc w:val="both"/>
              <w:rPr>
                <w:b/>
                <w:spacing w:val="-6"/>
              </w:rPr>
            </w:pPr>
            <w:r>
              <w:rPr>
                <w:b/>
                <w:spacing w:val="-6"/>
              </w:rPr>
              <w:t>Голубинского</w:t>
            </w:r>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D2212A">
              <w:rPr>
                <w:b/>
                <w:spacing w:val="-6"/>
              </w:rPr>
              <w:t>Голубинского</w:t>
            </w:r>
            <w:r w:rsidRPr="00E27ABC">
              <w:rPr>
                <w:rFonts w:eastAsiaTheme="minorHAnsi"/>
                <w:b/>
                <w:bCs/>
                <w:lang w:eastAsia="en-US"/>
              </w:rPr>
              <w:t xml:space="preserve"> сельского п</w:t>
            </w:r>
            <w:r w:rsidRPr="00E27ABC">
              <w:rPr>
                <w:rFonts w:eastAsiaTheme="minorHAnsi"/>
                <w:b/>
                <w:bCs/>
                <w:lang w:eastAsia="en-US"/>
              </w:rPr>
              <w:t>о</w:t>
            </w:r>
            <w:r w:rsidRPr="00E27ABC">
              <w:rPr>
                <w:rFonts w:eastAsiaTheme="minorHAnsi"/>
                <w:b/>
                <w:bCs/>
                <w:lang w:eastAsia="en-US"/>
              </w:rPr>
              <w:t xml:space="preserve">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F33711"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F33711"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r w:rsidR="00D2212A">
                <w:rPr>
                  <w:b/>
                  <w:spacing w:val="-6"/>
                </w:rPr>
                <w:t>Голубинскому</w:t>
              </w:r>
              <w:r w:rsidR="00A23631" w:rsidRPr="00A23631">
                <w:rPr>
                  <w:rFonts w:eastAsiaTheme="minorHAnsi"/>
                  <w:b/>
                  <w:bCs/>
                  <w:lang w:eastAsia="en-US"/>
                </w:rPr>
                <w:t xml:space="preserve"> 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F33711"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F33711"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F33711"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F33711"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F33711"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F33711"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F33711" w:rsidRPr="00F33711">
              <w:fldChar w:fldCharType="begin"/>
            </w:r>
            <w:r w:rsidR="000048BA">
              <w:instrText>HYPERLINK \l "_Toc467625443"</w:instrText>
            </w:r>
            <w:r w:rsidR="00F33711" w:rsidRPr="00F33711">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F33711">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D2212A">
              <w:rPr>
                <w:b/>
                <w:spacing w:val="-6"/>
              </w:rPr>
              <w:t>Голубинского</w:t>
            </w:r>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8547DD">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D2212A">
        <w:rPr>
          <w:lang w:val="ru-RU"/>
        </w:rPr>
        <w:t>Голубинского</w:t>
      </w:r>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D2212A">
        <w:rPr>
          <w:lang w:val="ru-RU"/>
        </w:rPr>
        <w:t>Голубинского</w:t>
      </w:r>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D2212A">
        <w:rPr>
          <w:lang w:val="ru-RU"/>
        </w:rPr>
        <w:t>Голубинского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D2212A">
        <w:rPr>
          <w:lang w:val="ru-RU"/>
        </w:rPr>
        <w:t>Голубинского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D2212A">
        <w:rPr>
          <w:lang w:val="ru-RU"/>
        </w:rPr>
        <w:t>Голубинского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D2212A">
        <w:rPr>
          <w:lang w:val="ru-RU"/>
        </w:rPr>
        <w:t>Голубинского</w:t>
      </w:r>
      <w:r w:rsidR="00B12F6F" w:rsidRPr="00E27ABC">
        <w:rPr>
          <w:color w:val="000000" w:themeColor="text1"/>
          <w:lang w:val="ru-RU"/>
        </w:rPr>
        <w:t xml:space="preserve"> сельского поселения </w:t>
      </w:r>
      <w:r w:rsidRPr="00E27ABC">
        <w:rPr>
          <w:color w:val="000000" w:themeColor="text1"/>
          <w:lang w:val="ru-RU"/>
        </w:rPr>
        <w:t>Калаче</w:t>
      </w:r>
      <w:r w:rsidRPr="00E27ABC">
        <w:rPr>
          <w:color w:val="000000" w:themeColor="text1"/>
          <w:lang w:val="ru-RU"/>
        </w:rPr>
        <w:t>в</w:t>
      </w:r>
      <w:r w:rsidRPr="00E27ABC">
        <w:rPr>
          <w:color w:val="000000" w:themeColor="text1"/>
          <w:lang w:val="ru-RU"/>
        </w:rPr>
        <w:t>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D2212A">
        <w:rPr>
          <w:lang w:val="ru-RU"/>
        </w:rPr>
        <w:t>Голубинского</w:t>
      </w:r>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D2212A">
        <w:rPr>
          <w:rFonts w:eastAsia="Calibri"/>
          <w:b/>
          <w:lang w:eastAsia="en-US"/>
        </w:rPr>
        <w:t>ГОЛУБИНСКОГО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D2212A">
        <w:t>Голубинского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D2212A">
        <w:rPr>
          <w:b/>
          <w:color w:val="000000" w:themeColor="text1"/>
        </w:rPr>
        <w:t>ГОЛУБИНСКОГО</w:t>
      </w:r>
      <w:r w:rsidRPr="00D807C0">
        <w:rPr>
          <w:b/>
          <w:color w:val="000000" w:themeColor="text1"/>
        </w:rPr>
        <w:t xml:space="preserve">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D2212A">
        <w:rPr>
          <w:lang w:val="ru-RU"/>
        </w:rPr>
        <w:t>Голубинского</w:t>
      </w:r>
      <w:r w:rsidR="00FF6318"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r w:rsidR="00D2212A">
        <w:rPr>
          <w:lang w:val="ru-RU"/>
        </w:rPr>
        <w:t>Гол</w:t>
      </w:r>
      <w:r w:rsidR="00D2212A">
        <w:rPr>
          <w:lang w:val="ru-RU"/>
        </w:rPr>
        <w:t>у</w:t>
      </w:r>
      <w:r w:rsidR="00D2212A">
        <w:rPr>
          <w:lang w:val="ru-RU"/>
        </w:rPr>
        <w:t>бинского</w:t>
      </w:r>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w:t>
      </w:r>
      <w:r w:rsidRPr="00E27ABC">
        <w:rPr>
          <w:lang w:val="ru-RU"/>
        </w:rPr>
        <w:t>а</w:t>
      </w:r>
      <w:r w:rsidRPr="00E27ABC">
        <w:rPr>
          <w:lang w:val="ru-RU"/>
        </w:rPr>
        <w:t>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и расчетных показат</w:t>
      </w:r>
      <w:r w:rsidRPr="00E27ABC">
        <w:rPr>
          <w:lang w:val="ru-RU"/>
        </w:rPr>
        <w:t>е</w:t>
      </w:r>
      <w:r w:rsidRPr="00E27ABC">
        <w:rPr>
          <w:lang w:val="ru-RU"/>
        </w:rPr>
        <w:t>лей максимально допустимого уровня территориальной доступности</w:t>
      </w:r>
      <w:proofErr w:type="gramEnd"/>
      <w:r w:rsidRPr="00E27ABC">
        <w:rPr>
          <w:lang w:val="ru-RU"/>
        </w:rPr>
        <w:t xml:space="preserve"> таких объектов для населения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D2212A">
        <w:t>Голубинского</w:t>
      </w:r>
      <w:r w:rsidRPr="00E27ABC">
        <w:rPr>
          <w:rFonts w:eastAsiaTheme="minorHAnsi"/>
          <w:bCs/>
          <w:lang w:eastAsia="en-US"/>
        </w:rPr>
        <w:t xml:space="preserve"> сельского поселения</w:t>
      </w:r>
      <w:r w:rsidRPr="00E27ABC">
        <w:t xml:space="preserve"> Кал</w:t>
      </w:r>
      <w:r w:rsidRPr="00E27ABC">
        <w:t>а</w:t>
      </w:r>
      <w:r w:rsidRPr="00E27ABC">
        <w:t xml:space="preserve">чевского муниципального района Волгоградской области, обеспечивающего современные стандарты организации территорий </w:t>
      </w:r>
      <w:r w:rsidR="00D2212A">
        <w:t>Голубинского</w:t>
      </w:r>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w:t>
      </w:r>
      <w:r w:rsidRPr="00E27ABC">
        <w:t>у</w:t>
      </w:r>
      <w:r w:rsidRPr="00E27ABC">
        <w:t>нальных отходов, в области культуры, в области местного самоуправления, в области благоустройс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D2212A">
        <w:t>Голубинского</w:t>
      </w:r>
      <w:r w:rsidRPr="00E27ABC">
        <w:rPr>
          <w:rFonts w:eastAsiaTheme="minorHAnsi"/>
          <w:bCs/>
          <w:lang w:eastAsia="en-US"/>
        </w:rPr>
        <w:t xml:space="preserve"> сельского поселения </w:t>
      </w:r>
      <w:r w:rsidRPr="00E27ABC">
        <w:t>Калачевского муниципал</w:t>
      </w:r>
      <w:r w:rsidRPr="00E27ABC">
        <w:t>ь</w:t>
      </w:r>
      <w:r w:rsidRPr="00E27ABC">
        <w:t>ного района Волгоградской области под размещение объектов, обеспечивающих благоприятные у</w:t>
      </w:r>
      <w:r w:rsidRPr="00E27ABC">
        <w:t>с</w:t>
      </w:r>
      <w:r w:rsidRPr="00E27ABC">
        <w:t>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D2212A">
        <w:t>Голубинского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w:t>
      </w:r>
      <w:r w:rsidR="00670467" w:rsidRPr="00E27ABC">
        <w:t>а</w:t>
      </w:r>
      <w:r w:rsidR="00670467" w:rsidRPr="00E27ABC">
        <w:t>чевского муниципального района, обеспечивающего современные стандарты организации террит</w:t>
      </w:r>
      <w:r w:rsidR="00670467" w:rsidRPr="00E27ABC">
        <w:t>о</w:t>
      </w:r>
      <w:r w:rsidR="00670467" w:rsidRPr="00E27ABC">
        <w:t xml:space="preserve">рий </w:t>
      </w:r>
      <w:r w:rsidR="00D2212A">
        <w:t>Голубинского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w:t>
      </w:r>
      <w:r w:rsidR="000B7490" w:rsidRPr="00E27ABC">
        <w:t>о</w:t>
      </w:r>
      <w:r w:rsidR="000B7490" w:rsidRPr="00E27ABC">
        <w:t xml:space="preserve">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D2212A">
        <w:t>Голубинского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w:t>
      </w:r>
      <w:r w:rsidR="00670467" w:rsidRPr="00E27ABC">
        <w:t>ь</w:t>
      </w:r>
      <w:r w:rsidR="00670467" w:rsidRPr="00E27ABC">
        <w:t>ного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D2212A">
        <w:t>Голубинского</w:t>
      </w:r>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D2212A">
        <w:t>Голубинского</w:t>
      </w:r>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r w:rsidR="00D2212A">
        <w:t>Голубинского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D2212A">
        <w:t>Голубинского</w:t>
      </w:r>
      <w:r w:rsidR="00670467" w:rsidRPr="00D807C0">
        <w:t xml:space="preserve"> </w:t>
      </w:r>
      <w:r w:rsidRPr="00D807C0">
        <w:t>сел</w:t>
      </w:r>
      <w:r w:rsidRPr="00D807C0">
        <w:t>ь</w:t>
      </w:r>
      <w:r w:rsidRPr="00D807C0">
        <w:t>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r w:rsidR="00D2212A">
        <w:rPr>
          <w:rFonts w:ascii="Times New Roman" w:hAnsi="Times New Roman" w:cs="Times New Roman"/>
          <w:i/>
          <w:sz w:val="24"/>
          <w:szCs w:val="24"/>
        </w:rPr>
        <w:t>Голубинскому</w:t>
      </w:r>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F33711"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литики управления.</w:t>
      </w:r>
      <w:r w:rsidR="00D2212A">
        <w:rPr>
          <w:lang w:eastAsia="ar-SA" w:bidi="en-US"/>
        </w:rPr>
        <w:t xml:space="preserve"> </w:t>
      </w:r>
      <w:proofErr w:type="gramStart"/>
      <w:r w:rsidR="0032392D" w:rsidRPr="00E27ABC">
        <w:rPr>
          <w:lang w:eastAsia="ar-SA" w:bidi="en-US"/>
        </w:rPr>
        <w:t>Согласно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roofErr w:type="gramEnd"/>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8547DD">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6" w:rsidRDefault="00D824A6" w:rsidP="00BB7348">
      <w:r>
        <w:separator/>
      </w:r>
    </w:p>
  </w:endnote>
  <w:endnote w:type="continuationSeparator" w:id="0">
    <w:p w:rsidR="00D824A6" w:rsidRDefault="00D824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D824A6" w:rsidRDefault="00F33711" w:rsidP="00CA01B0">
        <w:pPr>
          <w:pStyle w:val="af3"/>
          <w:jc w:val="right"/>
        </w:pPr>
        <w:fldSimple w:instr="PAGE   \* MERGEFORMAT">
          <w:r w:rsidR="008547DD">
            <w:rPr>
              <w:noProof/>
            </w:rPr>
            <w:t>42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D824A6" w:rsidRDefault="00F33711" w:rsidP="00D807C0">
        <w:pPr>
          <w:pStyle w:val="af3"/>
          <w:jc w:val="right"/>
        </w:pPr>
        <w:fldSimple w:instr="PAGE   \* MERGEFORMAT">
          <w:r w:rsidR="008547DD">
            <w:rPr>
              <w:noProof/>
            </w:rPr>
            <w:t>10</w:t>
          </w:r>
        </w:fldSimple>
      </w:p>
    </w:sdtContent>
  </w:sdt>
  <w:p w:rsidR="00D824A6" w:rsidRDefault="00D824A6">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6" w:rsidRDefault="00D824A6" w:rsidP="00BB7348">
      <w:r>
        <w:separator/>
      </w:r>
    </w:p>
  </w:footnote>
  <w:footnote w:type="continuationSeparator" w:id="0">
    <w:p w:rsidR="00D824A6" w:rsidRDefault="00D824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Pr="00BB7348" w:rsidRDefault="00D824A6"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D824A6" w:rsidRDefault="00D2212A" w:rsidP="00BB7348">
    <w:pPr>
      <w:pStyle w:val="af1"/>
      <w:rPr>
        <w:i/>
        <w:color w:val="7F7F7F" w:themeColor="text1" w:themeTint="80"/>
        <w:sz w:val="18"/>
        <w:u w:val="single"/>
      </w:rPr>
    </w:pPr>
    <w:r>
      <w:rPr>
        <w:i/>
        <w:color w:val="7F7F7F" w:themeColor="text1" w:themeTint="80"/>
        <w:sz w:val="18"/>
        <w:u w:val="single"/>
      </w:rPr>
      <w:t>Голубинского</w:t>
    </w:r>
    <w:r w:rsidR="00D824A6">
      <w:rPr>
        <w:i/>
        <w:color w:val="7F7F7F" w:themeColor="text1" w:themeTint="80"/>
        <w:sz w:val="18"/>
        <w:u w:val="single"/>
      </w:rPr>
      <w:t xml:space="preserve">  сельского поселения Калачевского </w:t>
    </w:r>
    <w:r w:rsidR="00D824A6" w:rsidRPr="00BB7348">
      <w:rPr>
        <w:i/>
        <w:color w:val="7F7F7F" w:themeColor="text1" w:themeTint="80"/>
        <w:sz w:val="18"/>
        <w:u w:val="single"/>
      </w:rPr>
      <w:t xml:space="preserve">муниципального района Волгоградской области </w:t>
    </w:r>
  </w:p>
  <w:p w:rsidR="00D824A6" w:rsidRDefault="00D824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Pr="00D807C0" w:rsidRDefault="00D824A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7413E"/>
    <w:rsid w:val="00293B92"/>
    <w:rsid w:val="002A225F"/>
    <w:rsid w:val="002C0247"/>
    <w:rsid w:val="002C2706"/>
    <w:rsid w:val="002C5FB0"/>
    <w:rsid w:val="002C678A"/>
    <w:rsid w:val="002C6844"/>
    <w:rsid w:val="002D348E"/>
    <w:rsid w:val="002E020A"/>
    <w:rsid w:val="002E2EE7"/>
    <w:rsid w:val="002E4CAB"/>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47DD"/>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A0D"/>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66D91"/>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212A"/>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711"/>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3EB0-573B-4214-A0DD-D90AD937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47</Pages>
  <Words>17455</Words>
  <Characters>99496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49</cp:revision>
  <cp:lastPrinted>2018-06-21T10:32:00Z</cp:lastPrinted>
  <dcterms:created xsi:type="dcterms:W3CDTF">2018-06-21T11:10:00Z</dcterms:created>
  <dcterms:modified xsi:type="dcterms:W3CDTF">2018-06-26T12:38:00Z</dcterms:modified>
</cp:coreProperties>
</file>